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1A6" w:rsidRPr="009921A6" w:rsidRDefault="009758D8" w:rsidP="009921A6">
      <w:pPr>
        <w:jc w:val="center"/>
        <w:rPr>
          <w:b/>
          <w:sz w:val="28"/>
          <w:szCs w:val="28"/>
        </w:rPr>
      </w:pPr>
      <w:r w:rsidRPr="009921A6">
        <w:rPr>
          <w:b/>
          <w:sz w:val="28"/>
          <w:szCs w:val="28"/>
        </w:rPr>
        <w:t>Kiegészítés</w:t>
      </w:r>
    </w:p>
    <w:p w:rsidR="00386D47" w:rsidRDefault="009758D8" w:rsidP="00CB4B93">
      <w:pPr>
        <w:jc w:val="both"/>
      </w:pPr>
      <w:proofErr w:type="gramStart"/>
      <w:r>
        <w:t>a</w:t>
      </w:r>
      <w:proofErr w:type="gramEnd"/>
      <w:r>
        <w:t xml:space="preserve"> bérleti díj előleg megfizetéséről és beszámításáról szóló, az Észak-Balatoni Térség Regionális Települési Szilárdhulladék Kezelési Önkormányzati Társulás és az ÉBH Észak-Balatoni Hulladékgazdálkodási Nonprofit Kft között 2015. június 22-én létrejött, majd 2015. október 15-én módosított megállapodáshoz.</w:t>
      </w:r>
    </w:p>
    <w:p w:rsidR="007B7D8B" w:rsidRDefault="007B7D8B" w:rsidP="00DA0193">
      <w:pPr>
        <w:jc w:val="both"/>
      </w:pPr>
      <w:r>
        <w:t>A megállapodás 1. sz. módosítása szerinti bérleti díj előleg</w:t>
      </w:r>
      <w:r w:rsidR="00CB4B93">
        <w:t>et</w:t>
      </w:r>
      <w:r>
        <w:t xml:space="preserve"> </w:t>
      </w:r>
      <w:proofErr w:type="spellStart"/>
      <w:r>
        <w:t>Bérbevevő</w:t>
      </w:r>
      <w:proofErr w:type="spellEnd"/>
      <w:r>
        <w:t xml:space="preserve"> </w:t>
      </w:r>
      <w:r w:rsidR="00CB4B93">
        <w:t xml:space="preserve">az alábbiak szerint </w:t>
      </w:r>
      <w:r>
        <w:t>fizette</w:t>
      </w:r>
      <w:r w:rsidR="00CB4B93">
        <w:t xml:space="preserve"> meg</w:t>
      </w:r>
      <w:r>
        <w:t>:</w:t>
      </w:r>
    </w:p>
    <w:p w:rsidR="007B7D8B" w:rsidRDefault="00DA0193">
      <w:r>
        <w:t>2015. 11. 19</w:t>
      </w:r>
      <w:r w:rsidR="007B7D8B">
        <w:t>.</w:t>
      </w:r>
      <w:r w:rsidR="007B7D8B">
        <w:tab/>
        <w:t>bruttó</w:t>
      </w:r>
      <w:r w:rsidR="007B7D8B">
        <w:tab/>
      </w:r>
      <w:r>
        <w:tab/>
      </w:r>
      <w:r w:rsidR="007B7D8B" w:rsidRPr="007B7D8B">
        <w:t>60.021.908</w:t>
      </w:r>
      <w:r>
        <w:t xml:space="preserve"> Ft.</w:t>
      </w:r>
    </w:p>
    <w:p w:rsidR="00DA0193" w:rsidRDefault="00DA0193">
      <w:r w:rsidRPr="00DA0193">
        <w:t>2015.</w:t>
      </w:r>
      <w:r>
        <w:t xml:space="preserve"> </w:t>
      </w:r>
      <w:r w:rsidRPr="00DA0193">
        <w:t>12.</w:t>
      </w:r>
      <w:r>
        <w:t xml:space="preserve"> </w:t>
      </w:r>
      <w:r w:rsidRPr="00DA0193">
        <w:t>02.</w:t>
      </w:r>
      <w:r>
        <w:tab/>
        <w:t>bruttó</w:t>
      </w:r>
      <w:r>
        <w:tab/>
      </w:r>
      <w:r>
        <w:tab/>
      </w:r>
      <w:r w:rsidRPr="00DA0193">
        <w:t>80.365.124</w:t>
      </w:r>
      <w:r>
        <w:t xml:space="preserve"> Ft</w:t>
      </w:r>
      <w:proofErr w:type="gramStart"/>
      <w:r>
        <w:t>.,</w:t>
      </w:r>
      <w:proofErr w:type="gramEnd"/>
    </w:p>
    <w:p w:rsidR="007B7D8B" w:rsidRDefault="00DA0193">
      <w:proofErr w:type="gramStart"/>
      <w:r>
        <w:t>amiről</w:t>
      </w:r>
      <w:proofErr w:type="gramEnd"/>
      <w:r>
        <w:t xml:space="preserve"> Bérbeadó a </w:t>
      </w:r>
      <w:r w:rsidRPr="00DA0193">
        <w:t>HUVB5-00002, HUVB5-00003</w:t>
      </w:r>
      <w:r>
        <w:t xml:space="preserve"> sorszámú számlát állította ki.</w:t>
      </w:r>
    </w:p>
    <w:p w:rsidR="00E15A44" w:rsidRPr="0061567D" w:rsidRDefault="00E15A44" w:rsidP="00E15A44">
      <w:pPr>
        <w:autoSpaceDE w:val="0"/>
        <w:autoSpaceDN w:val="0"/>
        <w:adjustRightInd w:val="0"/>
        <w:spacing w:before="60" w:after="60"/>
        <w:jc w:val="both"/>
      </w:pPr>
      <w:r w:rsidRPr="0061567D">
        <w:t>A hulladékgazdálkodás napjainkban zajló jelentős átalakításának egyik eleme, hogy a</w:t>
      </w:r>
      <w:r w:rsidRPr="009345E8">
        <w:rPr>
          <w:rFonts w:eastAsia="Calibri"/>
          <w:bCs/>
          <w:sz w:val="20"/>
          <w:szCs w:val="20"/>
          <w:lang w:eastAsia="x-none"/>
        </w:rPr>
        <w:t xml:space="preserve"> </w:t>
      </w:r>
      <w:r w:rsidRPr="0061567D">
        <w:t>hulladékról szóló 2012. évi CLXXXV. törvény (</w:t>
      </w:r>
      <w:proofErr w:type="spellStart"/>
      <w:r w:rsidRPr="0061567D">
        <w:t>Ht</w:t>
      </w:r>
      <w:proofErr w:type="spellEnd"/>
      <w:r w:rsidRPr="0061567D">
        <w:t>.) 2016. április 1-től hatályos módosítása következtében a közszolgáltatási díjat a Koordináló szerv (NHKV Zrt) szedi be az ingatlanhasználóktól és a Közszolgáltatónak a közszolgáltatási szerződésben rögzített feladataiért a Koordináló szerv fizet szolgáltatási díjat.</w:t>
      </w:r>
    </w:p>
    <w:p w:rsidR="00480327" w:rsidRPr="0061567D" w:rsidRDefault="00E15A44" w:rsidP="00E15A44">
      <w:pPr>
        <w:autoSpaceDE w:val="0"/>
        <w:autoSpaceDN w:val="0"/>
        <w:adjustRightInd w:val="0"/>
        <w:spacing w:before="60" w:after="60"/>
        <w:jc w:val="both"/>
      </w:pPr>
      <w:r w:rsidRPr="0061567D">
        <w:t xml:space="preserve">A szolgáltatási díjról szóló NFM rendelet szerint: Koordináló szerv a szolgáltatási díjat naptári negyedévenként utólag fizeti meg a közszolgáltató részére. </w:t>
      </w:r>
      <w:r w:rsidR="00CB4B93">
        <w:t>A Közszolgáltatók többségének, mivel</w:t>
      </w:r>
      <w:r w:rsidRPr="0061567D">
        <w:t xml:space="preserve"> korábban havi gyakorisággal számlázott,</w:t>
      </w:r>
      <w:r w:rsidR="00480327" w:rsidRPr="0061567D">
        <w:t xml:space="preserve"> ez a körülmény súlyos </w:t>
      </w:r>
      <w:proofErr w:type="gramStart"/>
      <w:r w:rsidR="00480327" w:rsidRPr="0061567D">
        <w:t>likviditási</w:t>
      </w:r>
      <w:proofErr w:type="gramEnd"/>
      <w:r w:rsidR="00480327" w:rsidRPr="0061567D">
        <w:t xml:space="preserve"> gondot okoz.</w:t>
      </w:r>
    </w:p>
    <w:p w:rsidR="00480327" w:rsidRPr="0061567D" w:rsidRDefault="00480327" w:rsidP="00E15A44">
      <w:pPr>
        <w:autoSpaceDE w:val="0"/>
        <w:autoSpaceDN w:val="0"/>
        <w:adjustRightInd w:val="0"/>
        <w:spacing w:before="60" w:after="60"/>
        <w:jc w:val="both"/>
      </w:pPr>
      <w:r w:rsidRPr="0061567D">
        <w:t xml:space="preserve">A </w:t>
      </w:r>
      <w:proofErr w:type="gramStart"/>
      <w:r w:rsidRPr="0061567D">
        <w:t>likviditási</w:t>
      </w:r>
      <w:proofErr w:type="gramEnd"/>
      <w:r w:rsidRPr="0061567D">
        <w:t xml:space="preserve"> probléma </w:t>
      </w:r>
      <w:r w:rsidR="00E15A44" w:rsidRPr="0061567D">
        <w:t xml:space="preserve">elsődlegesen az üzemeltető ÉBH </w:t>
      </w:r>
      <w:proofErr w:type="spellStart"/>
      <w:r w:rsidR="00E15A44" w:rsidRPr="0061567D">
        <w:t>NKft</w:t>
      </w:r>
      <w:proofErr w:type="spellEnd"/>
      <w:r w:rsidR="00E15A44" w:rsidRPr="0061567D">
        <w:t xml:space="preserve">. működését veszélyezteti, </w:t>
      </w:r>
      <w:r w:rsidRPr="0061567D">
        <w:t xml:space="preserve">mivel </w:t>
      </w:r>
      <w:r w:rsidR="00E15A44" w:rsidRPr="0061567D">
        <w:t>a szolgált</w:t>
      </w:r>
      <w:r w:rsidRPr="0061567D">
        <w:t xml:space="preserve">atók </w:t>
      </w:r>
      <w:r w:rsidR="00E15A44" w:rsidRPr="0061567D">
        <w:t>a hulladékkezelés költségeit</w:t>
      </w:r>
      <w:r w:rsidRPr="0061567D">
        <w:t xml:space="preserve"> </w:t>
      </w:r>
      <w:r w:rsidR="007B7D8B" w:rsidRPr="0061567D">
        <w:t>késve</w:t>
      </w:r>
      <w:r w:rsidRPr="0061567D">
        <w:t xml:space="preserve"> tudják megfizetni.</w:t>
      </w:r>
    </w:p>
    <w:p w:rsidR="00C36827" w:rsidRDefault="00C36827" w:rsidP="00E15A44">
      <w:pPr>
        <w:autoSpaceDE w:val="0"/>
        <w:autoSpaceDN w:val="0"/>
        <w:adjustRightInd w:val="0"/>
        <w:spacing w:before="60" w:after="60"/>
        <w:jc w:val="both"/>
      </w:pPr>
      <w:r>
        <w:t>A</w:t>
      </w:r>
      <w:r w:rsidRPr="0061567D">
        <w:t xml:space="preserve"> kö</w:t>
      </w:r>
      <w:r>
        <w:t xml:space="preserve">zszolgáltatás fenntartása és a </w:t>
      </w:r>
      <w:proofErr w:type="spellStart"/>
      <w:r>
        <w:t>h</w:t>
      </w:r>
      <w:r w:rsidRPr="0061567D">
        <w:t>ulladékgazdálkodási</w:t>
      </w:r>
      <w:proofErr w:type="spellEnd"/>
      <w:r w:rsidRPr="0061567D">
        <w:t xml:space="preserve"> </w:t>
      </w:r>
      <w:r>
        <w:t>r</w:t>
      </w:r>
      <w:r w:rsidRPr="0061567D">
        <w:t xml:space="preserve">endszer működésének biztosítása </w:t>
      </w:r>
      <w:r>
        <w:t xml:space="preserve">érdekében </w:t>
      </w:r>
      <w:r w:rsidRPr="0061567D">
        <w:t xml:space="preserve">Bérbeadó </w:t>
      </w:r>
      <w:r>
        <w:t xml:space="preserve">hozzájárul </w:t>
      </w:r>
      <w:proofErr w:type="spellStart"/>
      <w:r>
        <w:t>Bérbevevő</w:t>
      </w:r>
      <w:proofErr w:type="spellEnd"/>
      <w:r>
        <w:t xml:space="preserve"> fizetőképességének megőrzéséhez azzal, hogy</w:t>
      </w:r>
      <w:r w:rsidRPr="0061567D">
        <w:t xml:space="preserve"> az </w:t>
      </w:r>
      <w:r>
        <w:t xml:space="preserve">előleg számlák közül a 2015. november 19-én bruttó 60.021.908 Ft. </w:t>
      </w:r>
      <w:proofErr w:type="gramStart"/>
      <w:r>
        <w:t>értékben</w:t>
      </w:r>
      <w:proofErr w:type="gramEnd"/>
      <w:r>
        <w:t xml:space="preserve"> kiállított,</w:t>
      </w:r>
      <w:r w:rsidRPr="00DA0193">
        <w:t xml:space="preserve"> HUVB5-00002</w:t>
      </w:r>
      <w:r w:rsidR="00CB1F94">
        <w:t xml:space="preserve"> sorszámú számlához kapcsolódóan helyesbítő számlát állít ki</w:t>
      </w:r>
      <w:r>
        <w:t xml:space="preserve"> és a bruttó összeget visszafizeti </w:t>
      </w:r>
      <w:proofErr w:type="spellStart"/>
      <w:r>
        <w:t>Bérbevevőnek</w:t>
      </w:r>
      <w:proofErr w:type="spellEnd"/>
      <w:r>
        <w:t>.</w:t>
      </w:r>
      <w:bookmarkStart w:id="0" w:name="_GoBack"/>
      <w:bookmarkEnd w:id="0"/>
    </w:p>
    <w:p w:rsidR="009921A6" w:rsidRDefault="007A46C9" w:rsidP="00E15A44">
      <w:pPr>
        <w:autoSpaceDE w:val="0"/>
        <w:autoSpaceDN w:val="0"/>
        <w:adjustRightInd w:val="0"/>
        <w:spacing w:before="60" w:after="60"/>
        <w:jc w:val="both"/>
      </w:pPr>
      <w:r>
        <w:t xml:space="preserve">Veszprém, 2016. </w:t>
      </w:r>
      <w:proofErr w:type="gramStart"/>
      <w:r>
        <w:t>szeptember ..</w:t>
      </w:r>
      <w:proofErr w:type="gramEnd"/>
      <w:r w:rsidR="009921A6">
        <w:t>.</w:t>
      </w:r>
    </w:p>
    <w:tbl>
      <w:tblPr>
        <w:tblW w:w="92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6"/>
        <w:gridCol w:w="709"/>
        <w:gridCol w:w="4425"/>
      </w:tblGrid>
      <w:tr w:rsidR="00A825D4" w:rsidRPr="004531E8" w:rsidTr="00A825D4">
        <w:trPr>
          <w:jc w:val="center"/>
        </w:trPr>
        <w:tc>
          <w:tcPr>
            <w:tcW w:w="4076" w:type="dxa"/>
          </w:tcPr>
          <w:p w:rsidR="00A825D4" w:rsidRDefault="00A825D4" w:rsidP="00715713">
            <w:pPr>
              <w:pStyle w:val="NormlOkean"/>
              <w:keepNext/>
              <w:tabs>
                <w:tab w:val="left" w:pos="1065"/>
              </w:tabs>
              <w:spacing w:before="60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A825D4" w:rsidRDefault="00A825D4" w:rsidP="00715713">
            <w:pPr>
              <w:pStyle w:val="NormlOkean"/>
              <w:keepNext/>
              <w:tabs>
                <w:tab w:val="left" w:pos="1065"/>
              </w:tabs>
              <w:spacing w:before="60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25" w:type="dxa"/>
          </w:tcPr>
          <w:p w:rsidR="00A825D4" w:rsidRDefault="00A825D4" w:rsidP="00715713">
            <w:pPr>
              <w:pStyle w:val="NormlOkean"/>
              <w:keepNext/>
              <w:tabs>
                <w:tab w:val="left" w:pos="1065"/>
              </w:tabs>
              <w:spacing w:before="600" w:line="240" w:lineRule="auto"/>
              <w:rPr>
                <w:rFonts w:ascii="Verdana" w:hAnsi="Verdana"/>
                <w:sz w:val="20"/>
              </w:rPr>
            </w:pPr>
          </w:p>
        </w:tc>
      </w:tr>
      <w:tr w:rsidR="00A825D4" w:rsidRPr="004531E8" w:rsidTr="00A825D4">
        <w:trPr>
          <w:jc w:val="center"/>
        </w:trPr>
        <w:tc>
          <w:tcPr>
            <w:tcW w:w="4076" w:type="dxa"/>
          </w:tcPr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after="120" w:line="240" w:lineRule="auto"/>
              <w:jc w:val="center"/>
              <w:rPr>
                <w:rFonts w:ascii="Verdana" w:hAnsi="Verdana"/>
                <w:szCs w:val="22"/>
              </w:rPr>
            </w:pPr>
            <w:r w:rsidRPr="00C36827">
              <w:rPr>
                <w:rFonts w:ascii="Verdana" w:hAnsi="Verdana"/>
                <w:szCs w:val="22"/>
              </w:rPr>
              <w:t>Észak-Balatoni Térség Regionális Települési Szilárdhulladék K</w:t>
            </w:r>
            <w:r w:rsidRPr="00C36827">
              <w:rPr>
                <w:rFonts w:ascii="Verdana" w:eastAsia="BatangChe" w:hAnsi="Verdana"/>
                <w:szCs w:val="22"/>
              </w:rPr>
              <w:t>ezelési Önkormányzati Társulás</w:t>
            </w:r>
          </w:p>
        </w:tc>
        <w:tc>
          <w:tcPr>
            <w:tcW w:w="709" w:type="dxa"/>
          </w:tcPr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after="120" w:line="240" w:lineRule="auto"/>
              <w:rPr>
                <w:rFonts w:ascii="Verdana" w:hAnsi="Verdana"/>
                <w:szCs w:val="22"/>
              </w:rPr>
            </w:pPr>
          </w:p>
        </w:tc>
        <w:tc>
          <w:tcPr>
            <w:tcW w:w="4425" w:type="dxa"/>
          </w:tcPr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after="120" w:line="240" w:lineRule="auto"/>
              <w:jc w:val="center"/>
              <w:rPr>
                <w:rFonts w:ascii="Verdana" w:hAnsi="Verdana"/>
                <w:szCs w:val="22"/>
              </w:rPr>
            </w:pPr>
            <w:r w:rsidRPr="00C36827">
              <w:rPr>
                <w:rFonts w:ascii="Verdana" w:hAnsi="Verdana"/>
                <w:szCs w:val="22"/>
              </w:rPr>
              <w:t xml:space="preserve">ÉBH Észak-Balatoni Hulladékgazdálkodási KFT. </w:t>
            </w:r>
          </w:p>
        </w:tc>
      </w:tr>
      <w:tr w:rsidR="00A825D4" w:rsidRPr="004531E8" w:rsidTr="00A825D4">
        <w:trPr>
          <w:jc w:val="center"/>
        </w:trPr>
        <w:tc>
          <w:tcPr>
            <w:tcW w:w="4076" w:type="dxa"/>
          </w:tcPr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line="240" w:lineRule="auto"/>
              <w:jc w:val="center"/>
              <w:rPr>
                <w:rFonts w:ascii="Verdana" w:hAnsi="Verdana"/>
                <w:szCs w:val="22"/>
              </w:rPr>
            </w:pPr>
            <w:r w:rsidRPr="00C36827">
              <w:rPr>
                <w:rFonts w:ascii="Verdana" w:hAnsi="Verdana"/>
                <w:b/>
                <w:szCs w:val="22"/>
              </w:rPr>
              <w:t>Bérbeadó</w:t>
            </w:r>
          </w:p>
        </w:tc>
        <w:tc>
          <w:tcPr>
            <w:tcW w:w="709" w:type="dxa"/>
          </w:tcPr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line="240" w:lineRule="auto"/>
              <w:rPr>
                <w:rFonts w:ascii="Verdana" w:hAnsi="Verdana"/>
                <w:szCs w:val="22"/>
              </w:rPr>
            </w:pPr>
          </w:p>
        </w:tc>
        <w:tc>
          <w:tcPr>
            <w:tcW w:w="4425" w:type="dxa"/>
          </w:tcPr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line="240" w:lineRule="auto"/>
              <w:jc w:val="center"/>
              <w:rPr>
                <w:rFonts w:ascii="Verdana" w:hAnsi="Verdana"/>
                <w:szCs w:val="22"/>
              </w:rPr>
            </w:pPr>
            <w:proofErr w:type="spellStart"/>
            <w:r w:rsidRPr="00C36827">
              <w:rPr>
                <w:rFonts w:ascii="Verdana" w:hAnsi="Verdana"/>
                <w:b/>
                <w:szCs w:val="22"/>
              </w:rPr>
              <w:t>Bérbevevő</w:t>
            </w:r>
            <w:proofErr w:type="spellEnd"/>
          </w:p>
        </w:tc>
      </w:tr>
      <w:tr w:rsidR="00A825D4" w:rsidRPr="004531E8" w:rsidTr="00A825D4">
        <w:trPr>
          <w:jc w:val="center"/>
        </w:trPr>
        <w:tc>
          <w:tcPr>
            <w:tcW w:w="4076" w:type="dxa"/>
          </w:tcPr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line="240" w:lineRule="auto"/>
              <w:jc w:val="center"/>
              <w:rPr>
                <w:rFonts w:ascii="Verdana" w:hAnsi="Verdana"/>
                <w:szCs w:val="22"/>
              </w:rPr>
            </w:pPr>
            <w:r w:rsidRPr="00C36827">
              <w:rPr>
                <w:rFonts w:ascii="Verdana" w:hAnsi="Verdana"/>
                <w:szCs w:val="22"/>
              </w:rPr>
              <w:t xml:space="preserve">képviseletében: </w:t>
            </w:r>
            <w:r w:rsidRPr="00C36827">
              <w:rPr>
                <w:rFonts w:ascii="Verdana" w:hAnsi="Verdana"/>
                <w:b/>
                <w:szCs w:val="22"/>
              </w:rPr>
              <w:t>Czaun János</w:t>
            </w:r>
          </w:p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after="120" w:line="240" w:lineRule="auto"/>
              <w:jc w:val="center"/>
              <w:rPr>
                <w:rFonts w:ascii="Verdana" w:hAnsi="Verdana"/>
                <w:szCs w:val="22"/>
              </w:rPr>
            </w:pPr>
            <w:r w:rsidRPr="00C36827">
              <w:rPr>
                <w:rFonts w:ascii="Verdana" w:hAnsi="Verdana"/>
                <w:szCs w:val="22"/>
              </w:rPr>
              <w:t>a Társulás elnöke</w:t>
            </w:r>
          </w:p>
        </w:tc>
        <w:tc>
          <w:tcPr>
            <w:tcW w:w="709" w:type="dxa"/>
          </w:tcPr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after="120" w:line="240" w:lineRule="auto"/>
              <w:rPr>
                <w:rFonts w:ascii="Verdana" w:hAnsi="Verdana"/>
                <w:szCs w:val="22"/>
              </w:rPr>
            </w:pPr>
          </w:p>
        </w:tc>
        <w:tc>
          <w:tcPr>
            <w:tcW w:w="4425" w:type="dxa"/>
          </w:tcPr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line="240" w:lineRule="auto"/>
              <w:jc w:val="center"/>
              <w:rPr>
                <w:rFonts w:ascii="Verdana" w:hAnsi="Verdana"/>
                <w:szCs w:val="22"/>
              </w:rPr>
            </w:pPr>
            <w:r w:rsidRPr="00C36827">
              <w:rPr>
                <w:rFonts w:ascii="Verdana" w:hAnsi="Verdana"/>
                <w:szCs w:val="22"/>
              </w:rPr>
              <w:t xml:space="preserve">képviseletében: </w:t>
            </w:r>
            <w:r w:rsidRPr="00C36827">
              <w:rPr>
                <w:rFonts w:ascii="Verdana" w:hAnsi="Verdana"/>
                <w:b/>
                <w:szCs w:val="22"/>
              </w:rPr>
              <w:t>Sarkady Attila</w:t>
            </w:r>
          </w:p>
          <w:p w:rsidR="00A825D4" w:rsidRPr="00C36827" w:rsidRDefault="00A825D4" w:rsidP="00715713">
            <w:pPr>
              <w:pStyle w:val="NormlOkean"/>
              <w:keepNext/>
              <w:tabs>
                <w:tab w:val="left" w:pos="1065"/>
              </w:tabs>
              <w:spacing w:line="240" w:lineRule="auto"/>
              <w:jc w:val="center"/>
              <w:rPr>
                <w:rFonts w:ascii="Verdana" w:hAnsi="Verdana"/>
                <w:szCs w:val="22"/>
              </w:rPr>
            </w:pPr>
            <w:r w:rsidRPr="00C36827">
              <w:rPr>
                <w:rFonts w:ascii="Verdana" w:hAnsi="Verdana"/>
                <w:szCs w:val="22"/>
              </w:rPr>
              <w:t>Ügyvezető</w:t>
            </w:r>
          </w:p>
        </w:tc>
      </w:tr>
    </w:tbl>
    <w:p w:rsidR="009758D8" w:rsidRDefault="009758D8"/>
    <w:sectPr w:rsidR="0097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D8"/>
    <w:rsid w:val="000E5CAD"/>
    <w:rsid w:val="00144DFA"/>
    <w:rsid w:val="001641F4"/>
    <w:rsid w:val="00386D47"/>
    <w:rsid w:val="00480327"/>
    <w:rsid w:val="00591218"/>
    <w:rsid w:val="0061567D"/>
    <w:rsid w:val="007A46C9"/>
    <w:rsid w:val="007B7D8B"/>
    <w:rsid w:val="009758D8"/>
    <w:rsid w:val="009921A6"/>
    <w:rsid w:val="009D2F20"/>
    <w:rsid w:val="00A825D4"/>
    <w:rsid w:val="00B0443F"/>
    <w:rsid w:val="00C1551B"/>
    <w:rsid w:val="00C36827"/>
    <w:rsid w:val="00CB1F94"/>
    <w:rsid w:val="00CB4B93"/>
    <w:rsid w:val="00DA0193"/>
    <w:rsid w:val="00E1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61FB3"/>
  <w15:chartTrackingRefBased/>
  <w15:docId w15:val="{F565808D-F8A9-4058-8574-BA9CCF4F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591218"/>
    <w:rPr>
      <w:rFonts w:ascii="Verdana" w:hAnsi="Verdana"/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82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Okean">
    <w:name w:val="Normál.Okean"/>
    <w:rsid w:val="00A825D4"/>
    <w:pPr>
      <w:spacing w:after="0" w:line="360" w:lineRule="exact"/>
      <w:jc w:val="both"/>
    </w:pPr>
    <w:rPr>
      <w:rFonts w:ascii="Arial" w:eastAsia="Times New Roman" w:hAnsi="Arial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László</dc:creator>
  <cp:keywords/>
  <dc:description/>
  <cp:lastModifiedBy>Farkas László</cp:lastModifiedBy>
  <cp:revision>5</cp:revision>
  <dcterms:created xsi:type="dcterms:W3CDTF">2016-09-05T08:50:00Z</dcterms:created>
  <dcterms:modified xsi:type="dcterms:W3CDTF">2016-09-05T18:28:00Z</dcterms:modified>
</cp:coreProperties>
</file>